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12" w:rsidRPr="00154273" w:rsidRDefault="00884412" w:rsidP="008844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Disciplina: Memórias e Patrimônios culturais</w:t>
      </w:r>
    </w:p>
    <w:p w:rsidR="00884412" w:rsidRPr="00154273" w:rsidRDefault="00884412" w:rsidP="00884412">
      <w:pPr>
        <w:jc w:val="both"/>
        <w:rPr>
          <w:rFonts w:ascii="Times New Roman" w:hAnsi="Times New Roman"/>
          <w:bCs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 xml:space="preserve">Ementa: </w:t>
      </w:r>
      <w:r w:rsidRPr="00154273">
        <w:rPr>
          <w:rFonts w:ascii="Times New Roman" w:hAnsi="Times New Roman"/>
          <w:sz w:val="24"/>
          <w:szCs w:val="24"/>
        </w:rPr>
        <w:t xml:space="preserve">Conceito de Patrimônio Cultural. Patrimônio Imaterial e Material. Conceito de Identidade. Conceito de Memória. </w:t>
      </w:r>
      <w:r w:rsidRPr="00154273">
        <w:rPr>
          <w:rFonts w:ascii="Times New Roman" w:hAnsi="Times New Roman"/>
          <w:bCs/>
          <w:sz w:val="24"/>
          <w:szCs w:val="24"/>
        </w:rPr>
        <w:t>Patrimônio &amp; Memória.</w:t>
      </w:r>
      <w:r w:rsidRPr="00154273">
        <w:rPr>
          <w:rFonts w:ascii="Times New Roman" w:hAnsi="Times New Roman"/>
          <w:sz w:val="24"/>
          <w:szCs w:val="24"/>
        </w:rPr>
        <w:t xml:space="preserve"> Legislação Patrimonial e Políticas Públicas Culturais. Políticas Preservacionistas no Brasil.</w:t>
      </w:r>
      <w:r w:rsidRPr="00154273">
        <w:rPr>
          <w:rFonts w:ascii="Times New Roman" w:hAnsi="Times New Roman"/>
          <w:bCs/>
          <w:sz w:val="24"/>
          <w:szCs w:val="24"/>
        </w:rPr>
        <w:t xml:space="preserve"> Os casos de gestão do Patrimônio Cultural. Inventário Nacional de Referências Culturais. Tombamento e Registro. Identificação, proteção, preservação e valorização do patrimônio cultural e memórias pessoal, local e regional.</w:t>
      </w:r>
    </w:p>
    <w:p w:rsidR="00884412" w:rsidRPr="00154273" w:rsidRDefault="00884412" w:rsidP="008844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Bibliografia: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>ABREU, Regina; CHAGAS, Mário (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Orgs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 xml:space="preserve">.).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Memória e patrimônio: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 ensaios contemporâneos. Rio de Janeiro: DP&amp;A, 2003.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ANICO, Marta. A pós-modernização da cultura: patrimônio e museus na contemporaneidade.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Horizontes antropológicos.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 Vol. 11, n. 23, Porto Alegre, Jan./Jun. 2005. Disponível em: http://www.scielo.br/scielo.php? script=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sci_arttext&amp;pid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=S0104-71832005000100005. Acesso em 18 dez. 2016.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ARANTES, </w:t>
      </w:r>
      <w:proofErr w:type="spellStart"/>
      <w:r w:rsidRPr="00154273">
        <w:rPr>
          <w:rFonts w:ascii="Times New Roman" w:hAnsi="Times New Roman"/>
          <w:sz w:val="24"/>
          <w:szCs w:val="24"/>
        </w:rPr>
        <w:t>Antonio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Augusto, </w:t>
      </w:r>
      <w:r w:rsidRPr="00154273">
        <w:rPr>
          <w:rFonts w:ascii="Times New Roman" w:hAnsi="Times New Roman"/>
          <w:i/>
          <w:sz w:val="24"/>
          <w:szCs w:val="24"/>
        </w:rPr>
        <w:t>Sobre Inventários e outros Instrumentos de Salvaguarda do Patrimônio Cultural Intangível: ensaios de antropologia pública.</w:t>
      </w:r>
      <w:r w:rsidRPr="00154273">
        <w:rPr>
          <w:rFonts w:ascii="Times New Roman" w:hAnsi="Times New Roman"/>
          <w:sz w:val="24"/>
          <w:szCs w:val="24"/>
        </w:rPr>
        <w:t xml:space="preserve"> Anuário Antropológico/2007-2008. RJ: 2009.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  <w:lang w:val="it-IT"/>
        </w:rPr>
        <w:t xml:space="preserve">BANDUCCI JR., Álvaro e BARRETTO, Margarita (orgs.) </w:t>
      </w:r>
      <w:r w:rsidRPr="00154273">
        <w:rPr>
          <w:rFonts w:ascii="Times New Roman" w:hAnsi="Times New Roman"/>
          <w:i/>
          <w:sz w:val="24"/>
          <w:szCs w:val="24"/>
        </w:rPr>
        <w:t>Turismo e Identidade Local: uma visão antropológica</w:t>
      </w:r>
      <w:r w:rsidRPr="00154273">
        <w:rPr>
          <w:rFonts w:ascii="Times New Roman" w:hAnsi="Times New Roman"/>
          <w:sz w:val="24"/>
          <w:szCs w:val="24"/>
        </w:rPr>
        <w:t>. SP: Papirus, 2001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b/>
          <w:bCs/>
          <w:kern w:val="1"/>
          <w:sz w:val="24"/>
          <w:szCs w:val="24"/>
          <w:lang w:val="pt-PT"/>
        </w:rPr>
      </w:pPr>
      <w:r w:rsidRPr="00154273">
        <w:rPr>
          <w:rFonts w:ascii="Times New Roman" w:hAnsi="Times New Roman"/>
          <w:sz w:val="24"/>
          <w:szCs w:val="24"/>
          <w:lang w:val="it-IT"/>
        </w:rPr>
        <w:t xml:space="preserve">BARRETTO, Margarita. </w:t>
      </w:r>
      <w:r w:rsidRPr="00154273">
        <w:rPr>
          <w:rFonts w:ascii="Times New Roman" w:hAnsi="Times New Roman"/>
          <w:bCs/>
          <w:i/>
          <w:kern w:val="1"/>
          <w:sz w:val="24"/>
          <w:szCs w:val="24"/>
          <w:lang w:val="pt-PT"/>
        </w:rPr>
        <w:t>Turismo e Legado Cultural,</w:t>
      </w:r>
      <w:r w:rsidRPr="00154273">
        <w:rPr>
          <w:rFonts w:ascii="Times New Roman" w:hAnsi="Times New Roman"/>
          <w:b/>
          <w:bCs/>
          <w:kern w:val="1"/>
          <w:sz w:val="24"/>
          <w:szCs w:val="24"/>
          <w:lang w:val="pt-PT"/>
        </w:rPr>
        <w:t xml:space="preserve"> </w:t>
      </w:r>
      <w:r w:rsidRPr="00154273">
        <w:rPr>
          <w:rFonts w:ascii="Times New Roman" w:hAnsi="Times New Roman"/>
          <w:bCs/>
          <w:kern w:val="1"/>
          <w:sz w:val="24"/>
          <w:szCs w:val="24"/>
          <w:lang w:val="pt-PT"/>
        </w:rPr>
        <w:t>SP: Papirus, 2003</w:t>
      </w:r>
      <w:r w:rsidRPr="00154273">
        <w:rPr>
          <w:rFonts w:ascii="Times New Roman" w:hAnsi="Times New Roman"/>
          <w:b/>
          <w:bCs/>
          <w:kern w:val="1"/>
          <w:sz w:val="24"/>
          <w:szCs w:val="24"/>
          <w:lang w:val="pt-PT"/>
        </w:rPr>
        <w:t>.</w:t>
      </w:r>
    </w:p>
    <w:p w:rsidR="00884412" w:rsidRPr="00154273" w:rsidRDefault="00884412" w:rsidP="00884412">
      <w:pPr>
        <w:pStyle w:val="Standard"/>
        <w:snapToGrid w:val="0"/>
        <w:spacing w:before="240" w:after="240"/>
        <w:jc w:val="both"/>
        <w:rPr>
          <w:rFonts w:cs="Times New Roman"/>
          <w:b/>
          <w:bCs/>
        </w:rPr>
      </w:pPr>
      <w:r w:rsidRPr="00154273">
        <w:rPr>
          <w:rFonts w:cs="Times New Roman"/>
        </w:rPr>
        <w:t xml:space="preserve">BRASIL. Lei nº 10.257, de 10 de julho de 2001 -  </w:t>
      </w:r>
      <w:r w:rsidRPr="00154273">
        <w:rPr>
          <w:rFonts w:cs="Times New Roman"/>
          <w:bCs/>
          <w:i/>
        </w:rPr>
        <w:t>Estatuto das Cidades</w:t>
      </w:r>
      <w:r w:rsidRPr="00154273">
        <w:rPr>
          <w:rFonts w:cs="Times New Roman"/>
          <w:b/>
          <w:bCs/>
        </w:rPr>
        <w:t>.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CAMARGO, Haroldo Leitão. </w:t>
      </w:r>
      <w:r w:rsidRPr="00154273">
        <w:rPr>
          <w:rFonts w:ascii="Times New Roman" w:hAnsi="Times New Roman"/>
          <w:i/>
          <w:sz w:val="24"/>
          <w:szCs w:val="24"/>
        </w:rPr>
        <w:t>Conceitos de Patrimônio: técnica ou ideologia?</w:t>
      </w:r>
      <w:r w:rsidRPr="00154273">
        <w:rPr>
          <w:rFonts w:ascii="Times New Roman" w:hAnsi="Times New Roman"/>
          <w:sz w:val="24"/>
          <w:szCs w:val="24"/>
        </w:rPr>
        <w:t xml:space="preserve"> s/d </w:t>
      </w:r>
      <w:proofErr w:type="spellStart"/>
      <w:r w:rsidRPr="00154273">
        <w:rPr>
          <w:rFonts w:ascii="Times New Roman" w:hAnsi="Times New Roman"/>
          <w:sz w:val="24"/>
          <w:szCs w:val="24"/>
        </w:rPr>
        <w:t>Mimeo</w:t>
      </w:r>
      <w:proofErr w:type="spellEnd"/>
      <w:r w:rsidRPr="00154273">
        <w:rPr>
          <w:rFonts w:ascii="Times New Roman" w:hAnsi="Times New Roman"/>
          <w:sz w:val="24"/>
          <w:szCs w:val="24"/>
        </w:rPr>
        <w:t>.</w:t>
      </w:r>
    </w:p>
    <w:p w:rsidR="00884412" w:rsidRPr="00154273" w:rsidRDefault="00884412" w:rsidP="00884412">
      <w:pPr>
        <w:pStyle w:val="Standard"/>
        <w:snapToGrid w:val="0"/>
        <w:spacing w:before="240" w:after="240"/>
        <w:jc w:val="both"/>
        <w:rPr>
          <w:rFonts w:cs="Times New Roman"/>
        </w:rPr>
      </w:pPr>
      <w:r w:rsidRPr="00154273">
        <w:rPr>
          <w:rFonts w:cs="Times New Roman"/>
        </w:rPr>
        <w:t xml:space="preserve">CAMPELLO, Glauco. </w:t>
      </w:r>
      <w:r w:rsidRPr="00154273">
        <w:rPr>
          <w:rFonts w:cs="Times New Roman"/>
          <w:bCs/>
        </w:rPr>
        <w:t>Patrimônio e Cidade, Cidade e Patrimônio</w:t>
      </w:r>
      <w:r w:rsidRPr="00154273">
        <w:rPr>
          <w:rFonts w:cs="Times New Roman"/>
          <w:b/>
          <w:bCs/>
          <w:i/>
        </w:rPr>
        <w:t>.</w:t>
      </w:r>
      <w:r w:rsidRPr="00154273">
        <w:rPr>
          <w:rFonts w:cs="Times New Roman"/>
        </w:rPr>
        <w:t xml:space="preserve"> In: </w:t>
      </w:r>
      <w:r w:rsidRPr="00154273">
        <w:rPr>
          <w:rFonts w:cs="Times New Roman"/>
          <w:i/>
        </w:rPr>
        <w:t>Revista do Patrimônio Histórico e Artístico Nacional</w:t>
      </w:r>
      <w:r w:rsidRPr="00154273">
        <w:rPr>
          <w:rFonts w:cs="Times New Roman"/>
          <w:b/>
        </w:rPr>
        <w:t>,</w:t>
      </w:r>
      <w:r w:rsidRPr="00154273">
        <w:rPr>
          <w:rFonts w:cs="Times New Roman"/>
        </w:rPr>
        <w:t xml:space="preserve"> nº 23, 1994.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CASCUDO, Câmara. </w:t>
      </w:r>
      <w:r w:rsidRPr="00154273">
        <w:rPr>
          <w:rFonts w:ascii="Times New Roman" w:hAnsi="Times New Roman"/>
          <w:i/>
          <w:sz w:val="24"/>
          <w:szCs w:val="24"/>
        </w:rPr>
        <w:t>Dicionário do Folclore Brasileiro.</w:t>
      </w:r>
      <w:r w:rsidRPr="00154273">
        <w:rPr>
          <w:rFonts w:ascii="Times New Roman" w:hAnsi="Times New Roman"/>
          <w:sz w:val="24"/>
          <w:szCs w:val="24"/>
        </w:rPr>
        <w:t xml:space="preserve"> SP: Global Editora, 12ª edição, 2012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CASTRIOTA, Leonardo </w:t>
      </w:r>
      <w:proofErr w:type="spellStart"/>
      <w:r w:rsidRPr="00154273">
        <w:rPr>
          <w:rFonts w:ascii="Times New Roman" w:hAnsi="Times New Roman"/>
          <w:sz w:val="24"/>
          <w:szCs w:val="24"/>
        </w:rPr>
        <w:t>Barci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</w:t>
      </w:r>
      <w:r w:rsidRPr="00154273">
        <w:rPr>
          <w:rFonts w:ascii="Times New Roman" w:hAnsi="Times New Roman"/>
          <w:i/>
          <w:sz w:val="24"/>
          <w:szCs w:val="24"/>
        </w:rPr>
        <w:t>Patrimônio Cultural: conceitos, políticas, instrumentos.</w:t>
      </w:r>
      <w:r w:rsidRPr="00154273">
        <w:rPr>
          <w:rFonts w:ascii="Times New Roman" w:hAnsi="Times New Roman"/>
          <w:sz w:val="24"/>
          <w:szCs w:val="24"/>
        </w:rPr>
        <w:t xml:space="preserve"> SP: </w:t>
      </w:r>
      <w:proofErr w:type="spellStart"/>
      <w:r w:rsidRPr="00154273">
        <w:rPr>
          <w:rFonts w:ascii="Times New Roman" w:hAnsi="Times New Roman"/>
          <w:sz w:val="24"/>
          <w:szCs w:val="24"/>
        </w:rPr>
        <w:t>Annablume</w:t>
      </w:r>
      <w:proofErr w:type="spellEnd"/>
      <w:r w:rsidRPr="00154273">
        <w:rPr>
          <w:rFonts w:ascii="Times New Roman" w:hAnsi="Times New Roman"/>
          <w:sz w:val="24"/>
          <w:szCs w:val="24"/>
        </w:rPr>
        <w:t>, Belo Horizonte: IEDS, 2009.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CHOAY, Françoise. </w:t>
      </w:r>
      <w:r w:rsidRPr="00154273">
        <w:rPr>
          <w:rFonts w:ascii="Times New Roman" w:hAnsi="Times New Roman"/>
          <w:i/>
          <w:sz w:val="24"/>
          <w:szCs w:val="24"/>
        </w:rPr>
        <w:t>A Alegoria do Patrimônio.</w:t>
      </w:r>
      <w:r w:rsidRPr="00154273">
        <w:rPr>
          <w:rFonts w:ascii="Times New Roman" w:hAnsi="Times New Roman"/>
          <w:b/>
          <w:sz w:val="24"/>
          <w:szCs w:val="24"/>
        </w:rPr>
        <w:t xml:space="preserve"> </w:t>
      </w:r>
      <w:r w:rsidRPr="00154273">
        <w:rPr>
          <w:rFonts w:ascii="Times New Roman" w:hAnsi="Times New Roman"/>
          <w:sz w:val="24"/>
          <w:szCs w:val="24"/>
        </w:rPr>
        <w:t>SP: Unesp. 2001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CHUVA, Márcia Regina Romeiro. </w:t>
      </w:r>
      <w:r w:rsidRPr="00154273">
        <w:rPr>
          <w:rFonts w:ascii="Times New Roman" w:hAnsi="Times New Roman"/>
          <w:i/>
          <w:sz w:val="24"/>
          <w:szCs w:val="24"/>
        </w:rPr>
        <w:t xml:space="preserve">Os Arquitetos da Memória: </w:t>
      </w:r>
      <w:proofErr w:type="spellStart"/>
      <w:r w:rsidRPr="00154273">
        <w:rPr>
          <w:rFonts w:ascii="Times New Roman" w:hAnsi="Times New Roman"/>
          <w:i/>
          <w:sz w:val="24"/>
          <w:szCs w:val="24"/>
        </w:rPr>
        <w:t>sociogênese</w:t>
      </w:r>
      <w:proofErr w:type="spellEnd"/>
      <w:r w:rsidRPr="00154273">
        <w:rPr>
          <w:rFonts w:ascii="Times New Roman" w:hAnsi="Times New Roman"/>
          <w:i/>
          <w:sz w:val="24"/>
          <w:szCs w:val="24"/>
        </w:rPr>
        <w:t xml:space="preserve"> das práticas de preservação do patrimônio cultural no Brasil (anos 1930-1940)</w:t>
      </w:r>
      <w:r w:rsidRPr="00154273">
        <w:rPr>
          <w:rFonts w:ascii="Times New Roman" w:hAnsi="Times New Roman"/>
          <w:sz w:val="24"/>
          <w:szCs w:val="24"/>
        </w:rPr>
        <w:t>, RJ: Editora UFRJ. 2009.</w:t>
      </w:r>
    </w:p>
    <w:p w:rsidR="00884412" w:rsidRPr="00154273" w:rsidRDefault="00884412" w:rsidP="0088441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lastRenderedPageBreak/>
        <w:t xml:space="preserve">COSTA, Everaldo B.; BRUSADIN, </w:t>
      </w:r>
      <w:proofErr w:type="spellStart"/>
      <w:r w:rsidRPr="00154273">
        <w:rPr>
          <w:rFonts w:ascii="Times New Roman" w:hAnsi="Times New Roman"/>
          <w:sz w:val="24"/>
          <w:szCs w:val="24"/>
        </w:rPr>
        <w:t>eandro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B; PIRES, Maria do Carmo (</w:t>
      </w:r>
      <w:proofErr w:type="spellStart"/>
      <w:r w:rsidRPr="00154273">
        <w:rPr>
          <w:rFonts w:ascii="Times New Roman" w:hAnsi="Times New Roman"/>
          <w:sz w:val="24"/>
          <w:szCs w:val="24"/>
        </w:rPr>
        <w:t>orgs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.) </w:t>
      </w:r>
      <w:r w:rsidRPr="00154273">
        <w:rPr>
          <w:rFonts w:ascii="Times New Roman" w:hAnsi="Times New Roman"/>
          <w:i/>
          <w:sz w:val="24"/>
          <w:szCs w:val="24"/>
        </w:rPr>
        <w:t>Valor Patrimonial e Turismo: limiar entre história, território e poder</w:t>
      </w:r>
      <w:r w:rsidRPr="00154273">
        <w:rPr>
          <w:rFonts w:ascii="Times New Roman" w:hAnsi="Times New Roman"/>
          <w:b/>
          <w:sz w:val="24"/>
          <w:szCs w:val="24"/>
        </w:rPr>
        <w:t>.</w:t>
      </w:r>
      <w:r w:rsidRPr="00154273">
        <w:rPr>
          <w:rFonts w:ascii="Times New Roman" w:hAnsi="Times New Roman"/>
          <w:sz w:val="24"/>
          <w:szCs w:val="24"/>
        </w:rPr>
        <w:t xml:space="preserve"> SP: Outras Expressões, 2012.</w:t>
      </w:r>
    </w:p>
    <w:p w:rsidR="00884412" w:rsidRPr="00154273" w:rsidRDefault="00884412" w:rsidP="00884412">
      <w:pPr>
        <w:pStyle w:val="Standard"/>
        <w:spacing w:before="240" w:after="240"/>
        <w:jc w:val="both"/>
        <w:rPr>
          <w:rFonts w:cs="Times New Roman"/>
        </w:rPr>
      </w:pPr>
      <w:r w:rsidRPr="00154273">
        <w:rPr>
          <w:rFonts w:cs="Times New Roman"/>
        </w:rPr>
        <w:t xml:space="preserve">CUNHA, </w:t>
      </w:r>
      <w:proofErr w:type="spellStart"/>
      <w:r w:rsidRPr="00154273">
        <w:rPr>
          <w:rFonts w:cs="Times New Roman"/>
        </w:rPr>
        <w:t>Paulete</w:t>
      </w:r>
      <w:proofErr w:type="spellEnd"/>
      <w:r w:rsidRPr="00154273">
        <w:rPr>
          <w:rFonts w:cs="Times New Roman"/>
        </w:rPr>
        <w:t xml:space="preserve"> M. S. </w:t>
      </w:r>
      <w:r w:rsidRPr="00154273">
        <w:rPr>
          <w:rFonts w:cs="Times New Roman"/>
          <w:bCs/>
          <w:i/>
        </w:rPr>
        <w:t>Porto: a cidade de rio único – na contramão da estreiteza do discurso modernizante.</w:t>
      </w:r>
      <w:r w:rsidRPr="00154273">
        <w:rPr>
          <w:rFonts w:cs="Times New Roman"/>
        </w:rPr>
        <w:t xml:space="preserve"> In: XXI Simpósio Nacional de História – ANPUH, Resumos, 2001, Niterói- RJ, UFF.</w:t>
      </w:r>
    </w:p>
    <w:p w:rsidR="00884412" w:rsidRPr="00154273" w:rsidRDefault="00884412" w:rsidP="00884412">
      <w:pPr>
        <w:pStyle w:val="Standard"/>
        <w:spacing w:before="240" w:after="240"/>
        <w:jc w:val="both"/>
        <w:rPr>
          <w:rFonts w:cs="Times New Roman"/>
        </w:rPr>
      </w:pPr>
      <w:r w:rsidRPr="00154273">
        <w:rPr>
          <w:rFonts w:cs="Times New Roman"/>
        </w:rPr>
        <w:t xml:space="preserve">CURY, </w:t>
      </w:r>
      <w:proofErr w:type="spellStart"/>
      <w:r w:rsidRPr="00154273">
        <w:rPr>
          <w:rFonts w:cs="Times New Roman"/>
        </w:rPr>
        <w:t>Isabele</w:t>
      </w:r>
      <w:proofErr w:type="spellEnd"/>
      <w:r w:rsidRPr="00154273">
        <w:rPr>
          <w:rFonts w:cs="Times New Roman"/>
        </w:rPr>
        <w:t xml:space="preserve">. </w:t>
      </w:r>
      <w:r w:rsidRPr="00154273">
        <w:rPr>
          <w:rFonts w:cs="Times New Roman"/>
          <w:bCs/>
          <w:i/>
        </w:rPr>
        <w:t>Cartas Patrimoniais.</w:t>
      </w:r>
      <w:r w:rsidRPr="00154273">
        <w:rPr>
          <w:rFonts w:cs="Times New Roman"/>
        </w:rPr>
        <w:t xml:space="preserve"> Rio de Janeiro: IPHAN, 2000.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FONSECA, Maria Cecília Londres.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 xml:space="preserve">O patrimônio em processo 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– trajetória da política federal de preservação no Brasil. 2. ed. rev. 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ampl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. Rio de Janeiro: Editora UFRJ/Minc – Iphan, 2005.</w:t>
      </w:r>
    </w:p>
    <w:p w:rsidR="00884412" w:rsidRPr="00154273" w:rsidRDefault="00884412" w:rsidP="00884412">
      <w:pPr>
        <w:pStyle w:val="Standard"/>
        <w:spacing w:before="240" w:after="240"/>
        <w:jc w:val="both"/>
        <w:rPr>
          <w:rFonts w:cs="Times New Roman"/>
        </w:rPr>
      </w:pPr>
      <w:r w:rsidRPr="00154273">
        <w:rPr>
          <w:rFonts w:cs="Times New Roman"/>
        </w:rPr>
        <w:t xml:space="preserve">FRANÇA, Felicidade C. O. </w:t>
      </w:r>
      <w:r w:rsidRPr="00154273">
        <w:rPr>
          <w:rFonts w:cs="Times New Roman"/>
          <w:bCs/>
          <w:i/>
        </w:rPr>
        <w:t>História e identidade: impactos da UHE – Lajeado na cidade de Porto Nacional –TO</w:t>
      </w:r>
      <w:r w:rsidRPr="00154273">
        <w:rPr>
          <w:rFonts w:cs="Times New Roman"/>
        </w:rPr>
        <w:t>. Monografia (Especialização em História Social) – Campus de Porto Nacional, Fundação Universidade Federal do Tocantins, 2005, 38 f.</w:t>
      </w:r>
    </w:p>
    <w:p w:rsidR="00884412" w:rsidRPr="00154273" w:rsidRDefault="00884412" w:rsidP="00884412">
      <w:pPr>
        <w:pStyle w:val="Standard"/>
        <w:snapToGrid w:val="0"/>
        <w:spacing w:before="240" w:after="240"/>
        <w:jc w:val="both"/>
        <w:rPr>
          <w:rFonts w:cs="Times New Roman"/>
        </w:rPr>
      </w:pPr>
      <w:r w:rsidRPr="00154273">
        <w:rPr>
          <w:rFonts w:cs="Times New Roman"/>
        </w:rPr>
        <w:t xml:space="preserve">GONÇALVEZ, J. Reginaldo Santos. </w:t>
      </w:r>
      <w:r w:rsidRPr="00154273">
        <w:rPr>
          <w:rFonts w:cs="Times New Roman"/>
          <w:bCs/>
          <w:i/>
        </w:rPr>
        <w:t>A Retórica da Perda</w:t>
      </w:r>
      <w:r w:rsidRPr="00154273">
        <w:rPr>
          <w:rFonts w:cs="Times New Roman"/>
          <w:i/>
        </w:rPr>
        <w:t>.</w:t>
      </w:r>
      <w:r w:rsidRPr="00154273">
        <w:rPr>
          <w:rFonts w:cs="Times New Roman"/>
          <w:b/>
        </w:rPr>
        <w:t xml:space="preserve"> </w:t>
      </w:r>
      <w:r w:rsidRPr="00154273">
        <w:rPr>
          <w:rFonts w:cs="Times New Roman"/>
        </w:rPr>
        <w:t xml:space="preserve">Rio de Janeiro: Editora da UFRJ/IPHAN, 1996.   </w:t>
      </w:r>
    </w:p>
    <w:p w:rsidR="00884412" w:rsidRPr="00154273" w:rsidRDefault="00884412" w:rsidP="00884412">
      <w:pPr>
        <w:pStyle w:val="Standard"/>
        <w:spacing w:before="240" w:after="240"/>
        <w:jc w:val="both"/>
        <w:rPr>
          <w:rFonts w:cs="Times New Roman"/>
        </w:rPr>
      </w:pPr>
      <w:r w:rsidRPr="00154273">
        <w:rPr>
          <w:rFonts w:cs="Times New Roman"/>
        </w:rPr>
        <w:t xml:space="preserve">HORTA, Maria de Lourdes Parreiras. </w:t>
      </w:r>
      <w:r w:rsidRPr="00154273">
        <w:rPr>
          <w:rFonts w:cs="Times New Roman"/>
          <w:bCs/>
          <w:i/>
        </w:rPr>
        <w:t>Guia prático de Educação patrimonial.</w:t>
      </w:r>
      <w:r w:rsidRPr="00154273">
        <w:rPr>
          <w:rFonts w:cs="Times New Roman"/>
        </w:rPr>
        <w:t xml:space="preserve"> Brasília: IPHAN, 1999.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IPHAN.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Paisagem cultural.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 Disponível em: </w:t>
      </w:r>
      <w:hyperlink r:id="rId4" w:history="1">
        <w:r w:rsidRPr="00154273">
          <w:rPr>
            <w:rStyle w:val="Hyperlink"/>
            <w:rFonts w:ascii="Times New Roman" w:hAnsi="Times New Roman"/>
            <w:color w:val="auto"/>
          </w:rPr>
          <w:t>http://portal.iphan.gov.br/portal/baixaFcdAnexo.do?id=1756</w:t>
        </w:r>
      </w:hyperlink>
      <w:r w:rsidRPr="00154273">
        <w:rPr>
          <w:rFonts w:ascii="Times New Roman" w:hAnsi="Times New Roman"/>
          <w:color w:val="auto"/>
          <w:sz w:val="24"/>
          <w:szCs w:val="24"/>
        </w:rPr>
        <w:t>. Acesso em 21 set. 2012.</w:t>
      </w:r>
    </w:p>
    <w:p w:rsidR="00884412" w:rsidRPr="00154273" w:rsidRDefault="00884412" w:rsidP="00884412">
      <w:pPr>
        <w:pStyle w:val="Corpodetexto21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LEMOS, Carlos A.C. </w:t>
      </w:r>
      <w:r w:rsidRPr="00154273">
        <w:rPr>
          <w:rFonts w:ascii="Times New Roman" w:hAnsi="Times New Roman"/>
          <w:bCs/>
          <w:i/>
          <w:sz w:val="24"/>
          <w:szCs w:val="24"/>
        </w:rPr>
        <w:t xml:space="preserve">O que é </w:t>
      </w:r>
      <w:proofErr w:type="gramStart"/>
      <w:r w:rsidRPr="00154273">
        <w:rPr>
          <w:rFonts w:ascii="Times New Roman" w:hAnsi="Times New Roman"/>
          <w:bCs/>
          <w:i/>
          <w:sz w:val="24"/>
          <w:szCs w:val="24"/>
        </w:rPr>
        <w:t>patrimônio  histórico</w:t>
      </w:r>
      <w:proofErr w:type="gramEnd"/>
      <w:r w:rsidRPr="00154273">
        <w:rPr>
          <w:rFonts w:ascii="Times New Roman" w:hAnsi="Times New Roman"/>
          <w:i/>
          <w:sz w:val="24"/>
          <w:szCs w:val="24"/>
        </w:rPr>
        <w:t>.</w:t>
      </w:r>
      <w:r w:rsidRPr="00154273">
        <w:rPr>
          <w:rFonts w:ascii="Times New Roman" w:hAnsi="Times New Roman"/>
          <w:sz w:val="24"/>
          <w:szCs w:val="24"/>
        </w:rPr>
        <w:t xml:space="preserve"> 5. ed.</w:t>
      </w:r>
      <w:r w:rsidRPr="00154273">
        <w:rPr>
          <w:rFonts w:ascii="Times New Roman" w:hAnsi="Times New Roman"/>
          <w:b/>
          <w:sz w:val="24"/>
          <w:szCs w:val="24"/>
        </w:rPr>
        <w:t xml:space="preserve"> </w:t>
      </w:r>
      <w:r w:rsidRPr="00154273">
        <w:rPr>
          <w:rFonts w:ascii="Times New Roman" w:hAnsi="Times New Roman"/>
          <w:sz w:val="24"/>
          <w:szCs w:val="24"/>
        </w:rPr>
        <w:t>São Paulo: Brasiliense, 1987.</w:t>
      </w:r>
    </w:p>
    <w:p w:rsidR="00884412" w:rsidRPr="00154273" w:rsidRDefault="00884412" w:rsidP="00884412">
      <w:pPr>
        <w:pStyle w:val="Standard"/>
        <w:snapToGrid w:val="0"/>
        <w:spacing w:before="240" w:after="240"/>
        <w:jc w:val="both"/>
        <w:rPr>
          <w:rFonts w:cs="Times New Roman"/>
        </w:rPr>
      </w:pPr>
      <w:r w:rsidRPr="00154273">
        <w:rPr>
          <w:rFonts w:cs="Times New Roman"/>
        </w:rPr>
        <w:t xml:space="preserve">MAGALHÃES, Aloísio. </w:t>
      </w:r>
      <w:r w:rsidRPr="00154273">
        <w:rPr>
          <w:rFonts w:cs="Times New Roman"/>
          <w:bCs/>
          <w:i/>
        </w:rPr>
        <w:t>E Triunfo? A questão dos Bens Culturais no Brasil</w:t>
      </w:r>
      <w:r w:rsidRPr="00154273">
        <w:rPr>
          <w:rFonts w:cs="Times New Roman"/>
        </w:rPr>
        <w:t>. Rio de Janeiro: Ed. Nova Fronteira/ Fundação Nacional Pró-Memória, 1995.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MESSIAS, 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Noeci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 xml:space="preserve"> C. </w:t>
      </w:r>
      <w:r w:rsidRPr="00154273">
        <w:rPr>
          <w:rFonts w:ascii="Times New Roman" w:hAnsi="Times New Roman"/>
          <w:bCs/>
          <w:i/>
          <w:color w:val="auto"/>
          <w:sz w:val="24"/>
          <w:szCs w:val="24"/>
        </w:rPr>
        <w:t>Patrimônio Cultural: entre o tradicional e a modernidade com a chegada da hidrelétrica de Lajeado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,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 Porto Nacional, TO, nº fls. 153 (Dissertação de Mestrado). Mestrado Profissionalizante em Gestão do Patrimônio Cultural. IGPA.UCG. 2004.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POLLAK, Michael. Memória e Identidade Social.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 xml:space="preserve">Estudos Históricos. 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Rio de janeiro, vol. 5, n. 10, 1992, 200-212. Disponível em http://bibliotecadigital.fgv.br/ojs/ 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index.php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reh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article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viewArticle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/1941. Acesso em 21 set. 2012.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SOARES, A L. Ramos. </w:t>
      </w:r>
      <w:r w:rsidRPr="00154273">
        <w:rPr>
          <w:rFonts w:ascii="Times New Roman" w:hAnsi="Times New Roman"/>
          <w:bCs/>
          <w:i/>
          <w:color w:val="auto"/>
          <w:sz w:val="24"/>
          <w:szCs w:val="24"/>
        </w:rPr>
        <w:t>Educação Patrimonial: Relatos e Experiências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.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 Santa Maria, RS: Editora da UFSM, 2003.</w:t>
      </w:r>
    </w:p>
    <w:p w:rsidR="00884412" w:rsidRPr="00154273" w:rsidRDefault="00884412" w:rsidP="00884412">
      <w:pPr>
        <w:pStyle w:val="PargrafodaLista"/>
        <w:tabs>
          <w:tab w:val="left" w:pos="170"/>
        </w:tabs>
        <w:spacing w:before="240" w:after="24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VELHO, Gilberto. Patrimônio, negociação e conflito. </w:t>
      </w:r>
      <w:r w:rsidRPr="00154273">
        <w:rPr>
          <w:rFonts w:ascii="Times New Roman" w:hAnsi="Times New Roman"/>
          <w:color w:val="auto"/>
          <w:sz w:val="24"/>
          <w:szCs w:val="24"/>
          <w:lang w:val="en-US"/>
        </w:rPr>
        <w:t xml:space="preserve">In: </w:t>
      </w:r>
      <w:proofErr w:type="spellStart"/>
      <w:r w:rsidRPr="00154273">
        <w:rPr>
          <w:rFonts w:ascii="Times New Roman" w:hAnsi="Times New Roman"/>
          <w:i/>
          <w:color w:val="auto"/>
          <w:sz w:val="24"/>
          <w:szCs w:val="24"/>
          <w:lang w:val="en-US"/>
        </w:rPr>
        <w:t>Mana</w:t>
      </w:r>
      <w:proofErr w:type="spellEnd"/>
      <w:r w:rsidRPr="00154273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</w:t>
      </w:r>
      <w:r w:rsidRPr="00154273">
        <w:rPr>
          <w:rFonts w:ascii="Times New Roman" w:hAnsi="Times New Roman"/>
          <w:color w:val="auto"/>
          <w:sz w:val="24"/>
          <w:szCs w:val="24"/>
          <w:lang w:val="en-US"/>
        </w:rPr>
        <w:t xml:space="preserve">[online]. </w:t>
      </w:r>
      <w:proofErr w:type="gramStart"/>
      <w:r w:rsidRPr="00154273">
        <w:rPr>
          <w:rFonts w:ascii="Times New Roman" w:hAnsi="Times New Roman"/>
          <w:color w:val="auto"/>
          <w:sz w:val="24"/>
          <w:szCs w:val="24"/>
          <w:lang w:val="en-US"/>
        </w:rPr>
        <w:t>2006</w:t>
      </w:r>
      <w:proofErr w:type="gramEnd"/>
      <w:r w:rsidRPr="00154273">
        <w:rPr>
          <w:rFonts w:ascii="Times New Roman" w:hAnsi="Times New Roman"/>
          <w:color w:val="auto"/>
          <w:sz w:val="24"/>
          <w:szCs w:val="24"/>
          <w:lang w:val="en-US"/>
        </w:rPr>
        <w:t xml:space="preserve">, vol.12, n.1, pp. 237-248. </w:t>
      </w:r>
      <w:r w:rsidRPr="00154273">
        <w:rPr>
          <w:rFonts w:ascii="Times New Roman" w:hAnsi="Times New Roman"/>
          <w:color w:val="auto"/>
          <w:sz w:val="24"/>
          <w:szCs w:val="24"/>
        </w:rPr>
        <w:t xml:space="preserve">Disponível em: http://www.scielo.br/scielo.php?script=sci_abstrac 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t&amp;pid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=S0104-93132006000100009&amp;lng=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en&amp;nrm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 xml:space="preserve">= 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iso&amp;tlng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=</w:t>
      </w:r>
      <w:proofErr w:type="spellStart"/>
      <w:r w:rsidRPr="00154273">
        <w:rPr>
          <w:rFonts w:ascii="Times New Roman" w:hAnsi="Times New Roman"/>
          <w:color w:val="auto"/>
          <w:sz w:val="24"/>
          <w:szCs w:val="24"/>
        </w:rPr>
        <w:t>pt</w:t>
      </w:r>
      <w:proofErr w:type="spellEnd"/>
      <w:r w:rsidRPr="00154273">
        <w:rPr>
          <w:rFonts w:ascii="Times New Roman" w:hAnsi="Times New Roman"/>
          <w:color w:val="auto"/>
          <w:sz w:val="24"/>
          <w:szCs w:val="24"/>
        </w:rPr>
        <w:t>. Acesso em 21 set. 2012.</w:t>
      </w:r>
    </w:p>
    <w:p w:rsidR="00884412" w:rsidRPr="00154273" w:rsidRDefault="00884412" w:rsidP="008844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3B1" w:rsidRDefault="00D353B1">
      <w:bookmarkStart w:id="0" w:name="_GoBack"/>
      <w:bookmarkEnd w:id="0"/>
    </w:p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</w:font>
  <w:font w:name="ヒラギノ角ゴ Pro W3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12"/>
    <w:rsid w:val="00884412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E6C5-5BDA-4C95-9E3F-1B548623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1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412"/>
    <w:rPr>
      <w:color w:val="0000FF"/>
      <w:u w:val="single"/>
    </w:rPr>
  </w:style>
  <w:style w:type="paragraph" w:styleId="PargrafodaLista">
    <w:name w:val="List Paragraph"/>
    <w:qFormat/>
    <w:rsid w:val="00884412"/>
    <w:pPr>
      <w:suppressAutoHyphens/>
      <w:spacing w:after="200" w:line="276" w:lineRule="auto"/>
      <w:ind w:left="720"/>
    </w:pPr>
    <w:rPr>
      <w:rFonts w:ascii="Lucida Grande" w:eastAsia="ヒラギノ角ゴ Pro W3" w:hAnsi="Lucida Grande" w:cs="Calibri"/>
      <w:color w:val="000000"/>
      <w:szCs w:val="20"/>
      <w:lang w:eastAsia="ar-SA"/>
    </w:rPr>
  </w:style>
  <w:style w:type="paragraph" w:customStyle="1" w:styleId="Standard">
    <w:name w:val="Standard"/>
    <w:rsid w:val="0088441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88441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iphan.gov.br/portal/baixaFcdAnexo.do?id=175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2018-11-24T12:25:00Z</dcterms:created>
  <dcterms:modified xsi:type="dcterms:W3CDTF">2018-11-24T12:27:00Z</dcterms:modified>
</cp:coreProperties>
</file>